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9" w:rsidRDefault="007B6E79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</w:pPr>
      <w:r w:rsidRPr="007B6E79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K problematice státní maturity z českého jazyka a literatury</w:t>
      </w:r>
    </w:p>
    <w:p w:rsidR="007B6E79" w:rsidRDefault="007B6E79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</w:pPr>
    </w:p>
    <w:p w:rsidR="007B6E79" w:rsidRPr="007B6E79" w:rsidRDefault="007B6E79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s-CZ"/>
        </w:rPr>
        <w:t>(Na otázky redaktorky ČR Praha odpovídala Lenka Dohnalová, předsedkyně SUČJL).</w:t>
      </w:r>
    </w:p>
    <w:p w:rsidR="007B6E79" w:rsidRDefault="007B6E79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</w:pPr>
    </w:p>
    <w:p w:rsidR="00D76D1A" w:rsidRPr="00D76D1A" w:rsidRDefault="00D76D1A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D76D1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D76D1A" w:rsidRDefault="00D76D1A" w:rsidP="00883C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D76D1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Státní maturitu letos skládali studenti popáté. Přinesly centralizované maturity zlepšení vědomostí žáků, když od prvního ročníku věděli, co je čeká na konci studia?</w:t>
      </w:r>
    </w:p>
    <w:p w:rsidR="00883C6D" w:rsidRDefault="00883C6D" w:rsidP="00883C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Domnívám se, že nikoliv. Důvod je jednoduchý – ne jedné straně nám RVP poskytují maximální svobodný prostor ve výuce, na druhé straně je centralizovaný – tedy jednotný výstup. Konkrétně v češtině se neustále za pochodu mění podmínky – letos byl zaveden jednotný seznam děl platný pro celou školu (dříve byly povoleny více vyhovující třídní seznamy), minutový manuál pro ústní zkoušení (poslední vlna školení pro kantory probíhala 2 měsíce před maturitami). Chystají se ovšem další změny v tabulce hodnocení ÚZ a mluví se také o návratu centráln</w:t>
      </w:r>
      <w:r w:rsidR="0010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ích hodnotitelů slohových prací.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883C6D" w:rsidRDefault="00883C6D" w:rsidP="00883C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Každoročně také kantoři analyzují DT, aby na ně své studenty co nejlépe připravili. Letos jsme se zaměřovali vedle gramatiky a porozumění textu také na literární teorii a literární směry</w:t>
      </w:r>
      <w:r w:rsidR="00A24DA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– v testu se nakonec objevily o</w:t>
      </w:r>
      <w:r w:rsidR="007B6E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tázky zaměřené zcela konkrétně - </w:t>
      </w:r>
      <w:r w:rsidR="00A24DA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příkladem je diskuze o Jidášovi a </w:t>
      </w:r>
      <w:proofErr w:type="spellStart"/>
      <w:r w:rsidR="00A24DA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Pallas</w:t>
      </w:r>
      <w:proofErr w:type="spellEnd"/>
      <w:r w:rsidR="00A24DA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Athéně – ti do testu patří, i když všechny tento typ otázek překvapil. Problémem je tedy neohraničený prostor – katalog definuje požadavky velmi obecně. </w:t>
      </w:r>
    </w:p>
    <w:p w:rsidR="00D76D1A" w:rsidRPr="00D76D1A" w:rsidRDefault="00D76D1A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A24DA4" w:rsidRDefault="00D76D1A" w:rsidP="00A24DA4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D76D1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Vypovídá současná maturita o skutečných znalostech a dovednostech studentů, nebo o tom, že si během studia zapamatovali odpovědi na možné maturitní otázky? </w:t>
      </w:r>
    </w:p>
    <w:p w:rsidR="00D76D1A" w:rsidRDefault="00A24DA4" w:rsidP="00A24DA4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Patrně jen částečně. Slohy jsou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ok</w:t>
      </w:r>
      <w:r w:rsidR="002940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leštěny</w:t>
      </w:r>
      <w:proofErr w:type="spellEnd"/>
      <w:r w:rsidR="002940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prostorem 90 minut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, v němž nelze složitější útvary kvalitně napsat, navíc srovnáváme hrušk</w:t>
      </w:r>
      <w:r w:rsidR="007B6E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y s jablky (viz letošní témata -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jak nesrovnatelné je napsat zprávu o akci, jejíž přesný program je</w:t>
      </w:r>
      <w:r w:rsidR="005B074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v zadání uveden, s úvahou o feminismu či nesmrtelnosti! Volá se po objektivizaci hodnocení, nefunguje však ani přibližně srovnatelná obtížnost v zadání jednotlivých útvarů. </w:t>
      </w:r>
      <w:r w:rsidRPr="00A24DA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5B074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A ještě</w:t>
      </w:r>
      <w:r w:rsidR="002940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jeden příklad z letošního roku – </w:t>
      </w:r>
      <w:r w:rsidR="005B074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zkuste napsat vyprávění s detektivní zápletkou v tak krátkém časovém intervalu!</w:t>
      </w:r>
    </w:p>
    <w:p w:rsidR="005B0740" w:rsidRDefault="005B0740" w:rsidP="00A24DA4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K literatuře – učitelé musí sjednotit své seznamy – na školách větších to je neřešitelný problém. Proč tedy centralizace? Proč musíme všichni rozebírat stejné knihy? Rozbor jednoho díla se student může naučit nazpaměť, není prostor pro tematický k</w:t>
      </w:r>
      <w:r w:rsidR="007B6E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ontext a vlastní interpretaci. Pan profesor </w:t>
      </w:r>
      <w:proofErr w:type="spellStart"/>
      <w:r w:rsidR="007B6E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Hilský</w:t>
      </w:r>
      <w:proofErr w:type="spellEnd"/>
      <w:r w:rsidR="007B6E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 svých přednáškách říká kouzelnou větu: „J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e tolik interpretací, kolik je čtenářů</w:t>
      </w:r>
      <w:r w:rsidR="007B6E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“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).</w:t>
      </w:r>
    </w:p>
    <w:p w:rsidR="005B0740" w:rsidRDefault="007B6E79" w:rsidP="00A24DA4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Hitem všech tří částí maturitní zkoušky</w:t>
      </w:r>
      <w:r w:rsidR="005B074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jsou pak funkční styly. Bez jejich znalosti (prolínají se všemi výstupy) nemáte šanci odmaturovat.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Nic proti století staré lingvistické teorii  - avšak pokud ji povýšíme na středních školách na dogmatickou metodu, popřeme právě tou exaktností základní smysl tvoření textu – potřebu se vyjádřit svobodně, kreativně. </w:t>
      </w:r>
    </w:p>
    <w:p w:rsidR="005B0740" w:rsidRDefault="005B0740" w:rsidP="00A24DA4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D76D1A" w:rsidRDefault="00D76D1A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D76D1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Zvýšil se pro zaměstnavatele kredit maturitního vysvědčení?</w:t>
      </w:r>
    </w:p>
    <w:p w:rsidR="00F645BC" w:rsidRPr="00D76D1A" w:rsidRDefault="00F645BC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Nemohu soudit, neznám data, navíc naši absolventi – tj. gymnazisté odcházejí na VŠ. Podle společenské odezvy se však domnívám, že nikoliv.</w:t>
      </w:r>
    </w:p>
    <w:p w:rsidR="00D76D1A" w:rsidRDefault="00D76D1A" w:rsidP="00D76D1A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D76D1A" w:rsidRPr="00D76D1A" w:rsidRDefault="00D76D1A" w:rsidP="00F64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6D1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Měla by maturita zůstat na všech úrovních centralizovaná?</w:t>
      </w:r>
    </w:p>
    <w:p w:rsidR="00F645BC" w:rsidRPr="006F08C1" w:rsidRDefault="00F645BC" w:rsidP="00D76D1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F08C1">
        <w:rPr>
          <w:rFonts w:eastAsia="Times New Roman" w:cs="Times New Roman"/>
          <w:sz w:val="24"/>
          <w:szCs w:val="24"/>
          <w:lang w:eastAsia="cs-CZ"/>
        </w:rPr>
        <w:lastRenderedPageBreak/>
        <w:t xml:space="preserve">Nikoliv. Stát by si měl ponechat kontrolu na DT, ostatní kompetence by měly být vráceny školám, které mají zajisté dost potenciálu, aby se samy profilovaly. Centralizace kvalitu nepřináší - naopak vše zploští v šedý průměr. Maturita není nástrojem k tomu, aby řešila kvalitu či nekvalitu našeho vzdělávacího systému. To je opravdu pozdě. Vedle slabých škol existuje poměrně významné procento škol kvalitních, které centralizace významně omezuje a snižuje jejich laťku. </w:t>
      </w:r>
      <w:r w:rsidR="0010174A" w:rsidRPr="006F08C1">
        <w:rPr>
          <w:rFonts w:eastAsia="Times New Roman" w:cs="Times New Roman"/>
          <w:sz w:val="24"/>
          <w:szCs w:val="24"/>
          <w:lang w:eastAsia="cs-CZ"/>
        </w:rPr>
        <w:t>Centralizovaný výstup nepracuje se skutečným po</w:t>
      </w:r>
      <w:r w:rsidR="006F08C1">
        <w:rPr>
          <w:rFonts w:eastAsia="Times New Roman" w:cs="Times New Roman"/>
          <w:sz w:val="24"/>
          <w:szCs w:val="24"/>
          <w:lang w:eastAsia="cs-CZ"/>
        </w:rPr>
        <w:t xml:space="preserve">tenciálem studenta – to dokáže </w:t>
      </w:r>
      <w:r w:rsidR="0010174A" w:rsidRPr="006F08C1">
        <w:rPr>
          <w:rFonts w:eastAsia="Times New Roman" w:cs="Times New Roman"/>
          <w:sz w:val="24"/>
          <w:szCs w:val="24"/>
          <w:lang w:eastAsia="cs-CZ"/>
        </w:rPr>
        <w:t xml:space="preserve">individuálně jedině učitel. </w:t>
      </w:r>
      <w:r w:rsidRPr="006F08C1">
        <w:rPr>
          <w:rFonts w:eastAsia="Times New Roman" w:cs="Times New Roman"/>
          <w:sz w:val="24"/>
          <w:szCs w:val="24"/>
          <w:lang w:eastAsia="cs-CZ"/>
        </w:rPr>
        <w:t xml:space="preserve">                               </w:t>
      </w:r>
    </w:p>
    <w:p w:rsidR="00D76D1A" w:rsidRPr="00D76D1A" w:rsidRDefault="00D76D1A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D76D1A" w:rsidRPr="00D76D1A" w:rsidRDefault="00D76D1A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D76D1A" w:rsidRDefault="00D76D1A" w:rsidP="00D76D1A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D76D1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Centrální hodnocení slohových prací se osvědčilo?</w:t>
      </w:r>
    </w:p>
    <w:p w:rsidR="009A50A7" w:rsidRDefault="009F5F1B" w:rsidP="00D76D1A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Podle mého názoru nikoliv – a my si v žádném případě nepřejeme jeho návrat. Maturitní slohy totiž objektivně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hodnotitelné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nejsou. Nejproblematičtější je kritérium 1A (zadání, obsah, téma</w:t>
      </w:r>
      <w:r w:rsidRPr="006F08C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) a 1B (styl – útvar).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96405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s-CZ"/>
        </w:rPr>
        <w:t xml:space="preserve">Dovolte mi krátký citát nestorky výuky stylistiky paní Marie Čechové: „Opuštěna by měla být praxe, kdy jedním ze dvou hlavních kritérií je hodnocení dodržení slohového útvaru – vedle </w:t>
      </w:r>
      <w:r w:rsidR="0096405B" w:rsidRPr="0096405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s-CZ"/>
        </w:rPr>
        <w:t>dodržení tématu. Nedodržování útvaru se ve středoškolské praxi trestávalo snížením známky až o dva stupně – bez ohledu na to, zda je toto odchýlení funkční, či nikoliv.“ (Připomínám, že na jiné</w:t>
      </w:r>
      <w:r w:rsidR="0010174A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s-CZ"/>
        </w:rPr>
        <w:t>m</w:t>
      </w:r>
      <w:r w:rsidR="0096405B" w:rsidRPr="0096405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cs-CZ"/>
        </w:rPr>
        <w:t xml:space="preserve"> místě autorka mluví o mísení stylů).</w:t>
      </w:r>
      <w:r w:rsidR="0096405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Já dodávám, že </w:t>
      </w:r>
      <w:r w:rsidR="0096405B" w:rsidRPr="0010174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u maturitní písemky mají</w:t>
      </w:r>
      <w:r w:rsidR="0096405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tato kritéria vetující charakter – pokud obdržíte nulu, neprošli jste. Systém vychází z funkční stylistiky – století staré lingvistické teorie, jež byla v našich školách povýšena na jedinou možnou výukovou metodu. Než začnete psát, musíte rozvážit funkční styl, slohový postup a jazykové prostředky. Tedy řešíte formu. To funguje u strukturovaných, racionálních textů např. administrativního stylu. V zadání </w:t>
      </w:r>
      <w:proofErr w:type="spellStart"/>
      <w:r w:rsidR="0096405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slohovek</w:t>
      </w:r>
      <w:proofErr w:type="spellEnd"/>
      <w:r w:rsidR="0096405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však převažuje umělecký styl, kte</w:t>
      </w:r>
      <w:r w:rsidR="009A50A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rý často začíná u slova či věty – podněcuje tvořivé psaní. </w:t>
      </w:r>
    </w:p>
    <w:p w:rsidR="009F5F1B" w:rsidRDefault="0096405B" w:rsidP="00D76D1A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V roce 2012 bylo mnoho textů odsouzeno k propadnutí právě proto, že se pisatelé nestrefili do slohového útvaru, byť byly jejich práce smysluplné a kvalitní. Umělecký přesah nel</w:t>
      </w:r>
      <w:r w:rsidR="0010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ze spoutat do </w:t>
      </w:r>
      <w:proofErr w:type="spellStart"/>
      <w:r w:rsidR="0010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excelové</w:t>
      </w:r>
      <w:proofErr w:type="spellEnd"/>
      <w:r w:rsidR="0010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tabulky.</w:t>
      </w:r>
      <w:r w:rsidR="006F08C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0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Je tedy nebezpečí, že studenti budou psát imitací – to je nápodobo</w:t>
      </w:r>
      <w:r w:rsidR="002940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u tak, aby co nejvíce vyhověli </w:t>
      </w:r>
      <w:r w:rsidR="0010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formálním požadavkům. Naše tradice nemá pěvně zakotvené představy o jednotlivých slohových útvarech – variabilita je obrovská.</w:t>
      </w:r>
    </w:p>
    <w:p w:rsidR="009A50A7" w:rsidRPr="009F5F1B" w:rsidRDefault="009A50A7" w:rsidP="00D76D1A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Jinými slovy – nevím, proč nejsem kompetentní hodnotit práce svých studentů, pokud je psaní učím. K tzv. „objektivizaci“ nechť svými zkušenostmi přispěje druhý hodnotitel. </w:t>
      </w:r>
      <w:r w:rsidR="00F312A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cs-CZ"/>
        </w:rPr>
        <w:t xml:space="preserve">Za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kontraproduktivní považuji vznik jakési tajemné skupiny centrálních hodnotitelů, kteří budou práce hodnotit centrálně podle metodiky, se kterou nebudou seznámeni „běžní“ učitelé ČJL, takže vlastně ani nebudou vědět, co je podle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CERMATu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správně. Je pravda, že – řečeno slovy paní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Baumgartnerové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– u desetkrát menšího počtu hodnotitelů se logicky zvyšuje míra shody hodnocení. To je samozřejmě pravda, ale přináší tento fakt nějakou informaci o míře objektivity hodnocení? Domnívám se, že nikoliv. A přiznám se, že slovo „kalibrace“ mi nahání hrůzu.</w:t>
      </w:r>
    </w:p>
    <w:p w:rsidR="00D76D1A" w:rsidRPr="00D76D1A" w:rsidRDefault="00D76D1A" w:rsidP="00D76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D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76D1A" w:rsidRPr="00D76D1A" w:rsidRDefault="00D76D1A" w:rsidP="00D76D1A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D76D1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O čem vypovídají výsledky státních maturit? O úrovni středních škol nebo o úrovni studentů a jejich přehledu, samostudiu?</w:t>
      </w:r>
    </w:p>
    <w:p w:rsidR="00D76D1A" w:rsidRPr="00D76D1A" w:rsidRDefault="00D76D1A" w:rsidP="00D76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D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A50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Obávám se, že vypovídají </w:t>
      </w:r>
      <w:r w:rsidR="0010174A">
        <w:rPr>
          <w:rFonts w:ascii="Times New Roman" w:eastAsia="Times New Roman" w:hAnsi="Times New Roman" w:cs="Times New Roman"/>
          <w:sz w:val="24"/>
          <w:szCs w:val="24"/>
          <w:lang w:eastAsia="cs-CZ"/>
        </w:rPr>
        <w:t>o schopnosti učitelů natrénovat</w:t>
      </w:r>
      <w:r w:rsidRPr="00D76D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testy a </w:t>
      </w:r>
      <w:r w:rsidR="0029404D">
        <w:rPr>
          <w:rFonts w:ascii="Times New Roman" w:eastAsia="Times New Roman" w:hAnsi="Times New Roman" w:cs="Times New Roman"/>
          <w:sz w:val="24"/>
          <w:szCs w:val="24"/>
          <w:lang w:eastAsia="cs-CZ"/>
        </w:rPr>
        <w:t>natrénovat imitaci psaní podle funkčních stylů.</w:t>
      </w:r>
    </w:p>
    <w:p w:rsidR="00D76D1A" w:rsidRPr="00D76D1A" w:rsidRDefault="00D76D1A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D76D1A" w:rsidRPr="00D76D1A" w:rsidRDefault="00D76D1A" w:rsidP="00D76D1A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D76D1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Nejsou centralizované maturity vyjádřením nedůvěry vůči učitelům na školách?</w:t>
      </w:r>
    </w:p>
    <w:p w:rsidR="00D76D1A" w:rsidRPr="00D76D1A" w:rsidRDefault="009A50A7" w:rsidP="00D76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Samozřejmě že jsou – jsme vystudovaní odborníci – mnozí s mnohaletou praxí – a proto, abychom mohli zkoušet u maturity, postupujeme téměř každý rok nějaké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školení. Nic proti dalšímu vzdělávání – naopak, potřebuje</w:t>
      </w:r>
      <w:r w:rsidR="0010174A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učitele co nejvzdělanější – ale tato školení mnoho smyslu nedávají. Řeší procesní věci či strukturální věci, nic nového nebo nic, co by se nedalo samostatně nastudovat. </w:t>
      </w:r>
    </w:p>
    <w:p w:rsidR="00D76D1A" w:rsidRPr="00D76D1A" w:rsidRDefault="00D76D1A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D76D1A" w:rsidRPr="00D76D1A" w:rsidRDefault="00D76D1A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D76D1A" w:rsidRPr="00D76D1A" w:rsidRDefault="00D76D1A" w:rsidP="00D76D1A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D76D1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Jsou nároky na slohy a obecně na schopnosti studentů na školách tak rozdílné, že to musí kontrolovat stát?</w:t>
      </w:r>
    </w:p>
    <w:p w:rsidR="00D76D1A" w:rsidRPr="00D76D1A" w:rsidRDefault="00D9047A" w:rsidP="00D76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vždyť pokud má stát problémy se slabými školami, nechť použije zákonné páky, aby zjistil, jak se tam učí a jak vypadají maturity – existuje přece školní inspekce. </w:t>
      </w:r>
    </w:p>
    <w:p w:rsidR="00D76D1A" w:rsidRPr="00D76D1A" w:rsidRDefault="00D76D1A" w:rsidP="00D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6D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76D1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cs-CZ"/>
        </w:rPr>
        <w:t>Měl by se středoškolský student stydět, když neví, kdo byl Jidáš?</w:t>
      </w:r>
    </w:p>
    <w:p w:rsidR="00D76D1A" w:rsidRPr="00D76D1A" w:rsidRDefault="0029404D" w:rsidP="00D76D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Samozřejmě </w:t>
      </w:r>
      <w:r w:rsidRPr="0029404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Jidášův příběh je jedním z největších a nejdůležitějších poselství lidstva.</w:t>
      </w:r>
    </w:p>
    <w:p w:rsidR="00D76D1A" w:rsidRPr="00D76D1A" w:rsidRDefault="00D76D1A" w:rsidP="00D76D1A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D76D1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782955" w:rsidRDefault="00782955"/>
    <w:sectPr w:rsidR="00782955" w:rsidSect="0078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D1A"/>
    <w:rsid w:val="00071F03"/>
    <w:rsid w:val="0010174A"/>
    <w:rsid w:val="00262F2C"/>
    <w:rsid w:val="0029404D"/>
    <w:rsid w:val="005B0740"/>
    <w:rsid w:val="00670EB5"/>
    <w:rsid w:val="006F08C1"/>
    <w:rsid w:val="00705EF1"/>
    <w:rsid w:val="00782955"/>
    <w:rsid w:val="007B6E79"/>
    <w:rsid w:val="00883C6D"/>
    <w:rsid w:val="0096405B"/>
    <w:rsid w:val="009A50A7"/>
    <w:rsid w:val="009F5F1B"/>
    <w:rsid w:val="00A24DA4"/>
    <w:rsid w:val="00BF57E6"/>
    <w:rsid w:val="00D76D1A"/>
    <w:rsid w:val="00D9047A"/>
    <w:rsid w:val="00F312A7"/>
    <w:rsid w:val="00F6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5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1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81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5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26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3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6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0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69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28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42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0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05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23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3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B75C-1660-4053-ABC5-B9EA08D4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Leniczka</dc:creator>
  <cp:lastModifiedBy>Leniczka</cp:lastModifiedBy>
  <cp:revision>9</cp:revision>
  <cp:lastPrinted>2015-05-13T11:54:00Z</cp:lastPrinted>
  <dcterms:created xsi:type="dcterms:W3CDTF">2015-05-13T10:30:00Z</dcterms:created>
  <dcterms:modified xsi:type="dcterms:W3CDTF">2015-08-11T18:00:00Z</dcterms:modified>
</cp:coreProperties>
</file>